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w:t>
      </w:r>
      <w:r>
        <w:rPr>
          <w:b w:val="false"/>
          <w:bCs w:val="false"/>
          <w:color w:val="000000"/>
          <w:sz w:val="24"/>
          <w:szCs w:val="24"/>
        </w:rPr>
        <w:t xml:space="preserve">no patamar de </w:t>
      </w:r>
      <w:r>
        <w:rPr>
          <w:b w:val="false"/>
          <w:bCs w:val="false"/>
          <w:color w:val="000000"/>
          <w:sz w:val="24"/>
          <w:szCs w:val="24"/>
        </w:rPr>
        <w:t xml:space="preserve"> 9,9% d</w:t>
      </w:r>
      <w:r>
        <w:rPr>
          <w:b w:val="false"/>
          <w:bCs w:val="false"/>
          <w:color w:val="000000"/>
          <w:sz w:val="24"/>
          <w:szCs w:val="24"/>
        </w:rPr>
        <w:t>o total de</w:t>
      </w:r>
      <w:r>
        <w:rPr>
          <w:b w:val="false"/>
          <w:bCs w:val="false"/>
          <w:color w:val="000000"/>
          <w:sz w:val="24"/>
          <w:szCs w:val="24"/>
        </w:rPr>
        <w:t xml:space="preserve">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a modelagem estatística, busca-se evidenciar a ocorrência ou não de quebras estruturais nas exportações de café no período datado como a extinção do tráfico transatlântico, isto é, no “ponto de pré-transição” para o trabalho assalariado em larga escala. </w:t>
      </w:r>
      <w:r>
        <w:rPr>
          <w:b w:val="false"/>
          <w:bCs w:val="false"/>
          <w:color w:val="C9211E"/>
          <w:sz w:val="24"/>
          <w:szCs w:val="24"/>
        </w:rPr>
        <w:t>Ou seja, c</w:t>
      </w:r>
      <w:r>
        <w:rPr>
          <w:rFonts w:eastAsia="Times New Roman" w:cs="Times New Roman"/>
          <w:b w:val="false"/>
          <w:bCs w:val="false"/>
          <w:i w:val="false"/>
          <w:caps w:val="false"/>
          <w:smallCaps w:val="false"/>
          <w:strike w:val="false"/>
          <w:dstrike w:val="false"/>
          <w:color w:val="C9211E"/>
          <w:kern w:val="0"/>
          <w:position w:val="0"/>
          <w:sz w:val="24"/>
          <w:sz w:val="24"/>
          <w:szCs w:val="24"/>
          <w:highlight w:val="white"/>
          <w:u w:val="none"/>
          <w:effect w:val="none"/>
          <w:vertAlign w:val="baseline"/>
          <w:lang w:val="pt-BR" w:eastAsia="pt-BR" w:bidi="ar-SA"/>
        </w:rPr>
        <w:t xml:space="preserve">om o objetivo de verificar a existência ou não de quebras nas exportações de café com a mudança institucional provocada com a Lei Eusébio de Queiroz. Em outras palavras: ocorreu em meados de 1850 uma quebra estrutural nas exportações de café com o fim da importação de mão de obra escrava? </w:t>
      </w:r>
    </w:p>
    <w:p>
      <w:pPr>
        <w:pStyle w:val="Normal"/>
        <w:spacing w:lineRule="auto" w:line="360" w:before="0" w:after="0"/>
        <w:ind w:left="0" w:right="0" w:hanging="0"/>
        <w:contextualSpacing/>
        <w:jc w:val="both"/>
        <w:rPr/>
      </w:pPr>
      <w:r>
        <w:rPr>
          <w:b w:val="false"/>
          <w:bCs w:val="false"/>
          <w:color w:val="000000"/>
          <w:sz w:val="24"/>
          <w:szCs w:val="24"/>
        </w:rPr>
        <w:tab/>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tru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tru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interno e o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tru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tru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próximos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Ncoradanotaderodap"/>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C9211E"/>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exposição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2">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ões anteriores, a presente pesquisa norteia como objetivo central analisar os efeitos nas exportações de café do fim da importação de mão de obra escrava com a Lei Eusébio de Queiroz.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4">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6. </w:t>
      </w:r>
      <w:r>
        <w:rPr>
          <w:b/>
          <w:bCs/>
          <w:i w:val="false"/>
          <w:caps w:val="false"/>
          <w:smallCaps w:val="false"/>
          <w:strike w:val="false"/>
          <w:dstrike w:val="false"/>
          <w:color w:val="000000"/>
          <w:position w:val="0"/>
          <w:sz w:val="24"/>
          <w:sz w:val="24"/>
          <w:szCs w:val="24"/>
          <w:highlight w:val="white"/>
          <w:u w:val="none"/>
          <w:effect w:val="none"/>
          <w:vertAlign w:val="baseline"/>
        </w:rPr>
        <w:t>An</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álise exploratória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Antes de expor os resultados da estimação dos modelos, no gráfico 9 pode-se visualizar a relação entre o log das exportações de café e o log do preço médio do café, ou seja, a elasticidade entre demanda externa por caf</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com relação ao preço.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bem definida. Por exemplo, observe que nos pontos pertencentes ao período de 1821 a 1830 (antes da lei Feijó) há outliers e, por sua vez, indicando uma relação inversa. Ou seja, indicando outra evidência para mudança nos parâmetros. </w:t>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com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 ao do l</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og do preço médio do café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Tabela 2 – Modelo log-log</w:t>
      </w:r>
    </w:p>
    <w:p>
      <w:pPr>
        <w:pStyle w:val="Normal"/>
        <w:widowControl/>
        <w:suppressAutoHyphens w:val="true"/>
        <w:overflowPunct w:val="true"/>
        <w:bidi w:val="0"/>
        <w:spacing w:lineRule="auto" w:line="360" w:before="0" w:after="0"/>
        <w:ind w:left="0" w:right="0" w:hanging="0"/>
        <w:jc w:val="left"/>
        <w:rPr>
          <w:sz w:val="20"/>
          <w:szCs w:val="20"/>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r>
        <w:rPr>
          <w:sz w:val="20"/>
          <w:szCs w:val="20"/>
        </w:rPr>
        <w:t xml:space="preserve"> </w:t>
      </w:r>
      <w:r>
        <w:rPr>
          <w:sz w:val="20"/>
          <w:szCs w:val="20"/>
        </w:rPr>
        <w:t>Fonte: elaboraç</w:t>
      </w:r>
      <w:r>
        <w:rPr>
          <w:rFonts w:eastAsia="Times New Roman" w:cs="Times New Roman"/>
          <w:color w:val="auto"/>
          <w:kern w:val="0"/>
          <w:sz w:val="20"/>
          <w:szCs w:val="20"/>
          <w:lang w:val="pt-BR" w:eastAsia="pt-BR" w:bidi="ar-SA"/>
        </w:rPr>
        <w:t xml:space="preserve">ão e cálculo do autor (2023)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028950" cy="695325"/>
            <wp:effectExtent l="0" t="0" r="0" b="0"/>
            <wp:wrapSquare wrapText="largest"/>
            <wp:docPr id="22"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6"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b/>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álculo do autor (2023)</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Interpretando a tabela 3, pode-se concluir de forma sumarizada que até mesmo em 1% rejeita-se a hipótese nula do teste de Chow, ou seja, encontra-se evidência estatística de quebra estrutural. Em outras palavras: há quebra estrutural nas exportações de café com a implementação da Lei Eusébio de Queiroz. Na tabela 2 de forma menos sumarizada, pode-se observar os resultados para os modelos em cada subperíodo: (1) modelo completo; (2) período de 1821 a 1850; (3) período de 1851 a 1900. Como esperado, todos os parâmetros são diferentes. Aliás, no modelo (2) o preço médio do café retornou aproximadamente -0.87 e, no modelo (3), retornou aproximadamente 0.65, isto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a variaç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de 1%, em m</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édia, no preço médio do café reduzi em -0.87% as exportações de 1821 a 1850; por outro lado, de 1851 a 1900, aumenta em 0.65%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Por sua vez, no modelo completo (1), encontra-se uma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positiva: a variação de 1%, em média, no preço do café aumenta em 0.74% as exportações de café. Ou seja, uma relação positiva como manda a teoria de demanda e oferta: maior o preço, maior a oferta. Interpretando a variável que representa o bem substituto da pauta de exportação, as exportações de açúcar, nota-se que os parâmetros continuaram positivos nos três modelos, porém com grande discrepância entre os modelos (2) e (3): passando de aproximadamente 1.8% para 0.07%  – aliás, sem significância no modelo (3), isto é, no período de 1851 a 1900. </w:t>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há significância estatística em explicar as exportações de café apenas as exportações de açúcar do modelo (3).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 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etornando estatística F significante nos três períodos e R² ajustado médio e alto. </w:t>
      </w:r>
    </w:p>
    <w:p>
      <w:pPr>
        <w:pStyle w:val="Normal"/>
        <w:widowControl/>
        <w:suppressAutoHyphens w:val="true"/>
        <w:overflowPunct w:val="true"/>
        <w:bidi w:val="0"/>
        <w:spacing w:lineRule="auto" w:line="36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
    </w:p>
    <w:p>
      <w:pPr>
        <w:pStyle w:val="Normal"/>
        <w:widowControl/>
        <w:suppressAutoHyphens w:val="true"/>
        <w:overflowPunct w:val="true"/>
        <w:bidi w:val="0"/>
        <w:spacing w:lineRule="auto" w:line="36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
    </w:p>
    <w:p>
      <w:pPr>
        <w:pStyle w:val="Normal"/>
        <w:widowControl/>
        <w:suppressAutoHyphens w:val="true"/>
        <w:overflowPunct w:val="tru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Não obstante, como mencionando na secção 4.3, descrevendo os pressupostos do teste de Chow, o teste é válida estatisticamente se, e somente se, respeitar determinados pressupostos. Assim, na próxima secção busca-se aplicar diversos testes para validação dos resultados.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O pressuposto primordial que o teste de Chow precisa obedecer para uma infer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robusta é necessariamente a distribuição Gaussiana e homocedasticidade dos resíduos. Em segundo, distribuição independente.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1-A. </w:t>
      </w: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Boutique de la rue Val-Longo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0"/>
          <w:sz w:val="20"/>
          <w:szCs w:val="20"/>
          <w:highlight w:val="white"/>
          <w:u w:val="none"/>
          <w:effect w:val="none"/>
          <w:vertAlign w:val="baseline"/>
        </w:rPr>
      </w:pPr>
      <w:r>
        <w:rPr>
          <w:b w:val="false"/>
          <w:bCs w:val="false"/>
          <w:i w:val="false"/>
          <w:caps w:val="false"/>
          <w:smallCaps w:val="false"/>
          <w:strike w:val="false"/>
          <w:dstrike w:val="false"/>
          <w:color w:val="000000"/>
          <w:position w:val="0"/>
          <w:sz w:val="20"/>
          <w:sz w:val="20"/>
          <w:szCs w:val="20"/>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101600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pP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 xml:space="preserve">Nota: Boutique de la rue Val-Longo, Debret, de 1835. </w:t>
      </w: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Na </w:t>
      </w:r>
      <w:hyperlink r:id="rId26">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cidade do Rio de Janeiro</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era na rua do Valongo que se encontrava o mercado de negros, verdadeiro entreposto onde eram guardados os escravos chegados da </w:t>
      </w:r>
      <w:hyperlink r:id="rId27">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África</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w:t>
      </w:r>
    </w:p>
    <w:p>
      <w:pPr>
        <w:pStyle w:val="Normal"/>
        <w:ind w:left="0" w:right="0" w:hanging="0"/>
        <w:jc w:val="both"/>
        <w:rPr>
          <w:rFonts w:ascii="Abyssinica SIL" w:hAnsi="Abyssinica SIL"/>
          <w:sz w:val="22"/>
          <w:szCs w:val="22"/>
        </w:rPr>
      </w:pP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xml:space="preserve">Fonte: Google Arts &amp; Culture, acessado em 25 de março de 2023: https://artsandculture.google.com/asset/shop-in-valongo-s-street/jwFN15cEX9bt-Q?hl=pt-br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1-B. Validação – modelo completo (1821 – 1900) </w:t>
      </w:r>
    </w:p>
    <w:p>
      <w:pPr>
        <w:pStyle w:val="Normal"/>
        <w:ind w:left="0" w:right="0" w:hanging="0"/>
        <w:jc w:val="both"/>
        <w:rPr>
          <w:i w:val="false"/>
          <w:i w:val="false"/>
          <w:caps w:val="false"/>
          <w:smallCaps w:val="false"/>
          <w:strike w:val="false"/>
          <w:dstrike w:val="false"/>
          <w:color w:val="000000"/>
          <w:position w:val="0"/>
          <w:sz w:val="24"/>
          <w:sz w:val="24"/>
          <w:szCs w:val="24"/>
          <w:highlight w:val="white"/>
          <w:u w:val="none"/>
          <w:effect w:val="none"/>
          <w:vertAlign w:val="baseline"/>
        </w:rPr>
      </w:pPr>
      <w:r>
        <w:rPr>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ão e cálculo do autor (2023).</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1-C. Validação  – modelo (1821 – 1850)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0"/>
          <w:sz w:val="20"/>
          <w:szCs w:val="20"/>
          <w:highlight w:val="white"/>
          <w:u w:val="none"/>
          <w:effect w:val="none"/>
          <w:vertAlign w:val="baseline"/>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9"/>
                    <a:stretch>
                      <a:fillRect/>
                    </a:stretch>
                  </pic:blipFill>
                  <pic:spPr bwMode="auto">
                    <a:xfrm>
                      <a:off x="0" y="0"/>
                      <a:ext cx="5760085" cy="5760085"/>
                    </a:xfrm>
                    <a:prstGeom prst="rect">
                      <a:avLst/>
                    </a:prstGeom>
                  </pic:spPr>
                </pic:pic>
              </a:graphicData>
            </a:graphic>
          </wp:anchor>
        </w:drawing>
      </w:r>
      <w:r>
        <w:rPr>
          <w:b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álculo do autor (2023)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modelo (1851 - 1900) </w:t>
      </w:r>
    </w:p>
    <w:p>
      <w:pPr>
        <w:pStyle w:val="Normal"/>
        <w:ind w:left="0" w:right="0" w:hanging="0"/>
        <w:jc w:val="both"/>
        <w:rPr>
          <w:rFonts w:eastAsia="Times New Roman" w:cs="Times New Roman"/>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5760085"/>
            <wp:effectExtent l="0" t="0" r="0" b="0"/>
            <wp:wrapSquare wrapText="largest"/>
            <wp:docPr id="26"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0" descr=""/>
                    <pic:cNvPicPr>
                      <a:picLocks noChangeAspect="1" noChangeArrowheads="1"/>
                    </pic:cNvPicPr>
                  </pic:nvPicPr>
                  <pic:blipFill>
                    <a:blip r:embed="rId30"/>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Correlação de Pearson entre as variáveis do modelo </w:t>
      </w:r>
    </w:p>
    <w:p>
      <w:pPr>
        <w:pStyle w:val="Normal"/>
        <w:spacing w:lineRule="auto" w:line="360"/>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5760085"/>
            <wp:effectExtent l="0" t="0" r="0" b="0"/>
            <wp:wrapSquare wrapText="largest"/>
            <wp:docPr id="27"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3" descr=""/>
                    <pic:cNvPicPr>
                      <a:picLocks noChangeAspect="1" noChangeArrowheads="1"/>
                    </pic:cNvPicPr>
                  </pic:nvPicPr>
                  <pic:blipFill>
                    <a:blip r:embed="rId31"/>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32">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33">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4"/>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Abyssinica SI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parcela da historiografia que não utiliza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Ver ap</w:t>
      </w:r>
      <w:r>
        <w:rPr>
          <w:rFonts w:eastAsia="Times New Roman" w:cs="Times New Roman"/>
          <w:color w:val="auto"/>
          <w:kern w:val="0"/>
          <w:sz w:val="20"/>
          <w:szCs w:val="20"/>
          <w:lang w:val="pt-BR" w:eastAsia="pt-BR" w:bidi="ar-SA"/>
        </w:rPr>
        <w:t>êndice</w:t>
      </w:r>
      <w:r>
        <w:rPr/>
        <w:t xml:space="preserve">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1">
    <w:p>
      <w:pPr>
        <w:pStyle w:val="Notaderodap"/>
        <w:ind w:left="339" w:right="0" w:hanging="0"/>
        <w:rPr/>
      </w:pPr>
      <w:r>
        <w:rPr>
          <w:rStyle w:val="Caracteresdenotaderodap"/>
        </w:rPr>
        <w:footnoteRef/>
      </w:r>
      <w:r>
        <w:rPr/>
        <w:t xml:space="preserve">    </w:t>
      </w:r>
      <w:r>
        <w:rPr/>
        <w:t xml:space="preserve">Ver, Costa (2016). </w:t>
      </w:r>
    </w:p>
  </w:footnote>
  <w:footnote w:id="22">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3">
    <w:p>
      <w:pPr>
        <w:pStyle w:val="Notaderodap"/>
        <w:rPr>
          <w:sz w:val="20"/>
          <w:szCs w:val="20"/>
        </w:rPr>
      </w:pPr>
      <w:r>
        <w:rPr>
          <w:rStyle w:val="Caracteresdenotaderodap"/>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4">
    <w:p>
      <w:pPr>
        <w:pStyle w:val="Notaderodap"/>
        <w:rPr/>
      </w:pPr>
      <w:r>
        <w:rPr>
          <w:rStyle w:val="Caracteresdenotaderodap"/>
        </w:rPr>
        <w:footnoteRef/>
      </w:r>
      <w:r>
        <w:rPr/>
        <w:tab/>
        <w:t xml:space="preserve">Sobre o modelo log-log, ver Gujarati &amp; Porter (2010, p. 176-179). </w:t>
      </w:r>
    </w:p>
  </w:footnote>
  <w:footnote w:id="25">
    <w:p>
      <w:pPr>
        <w:pStyle w:val="Notaderodap"/>
        <w:rPr/>
      </w:pPr>
      <w:r>
        <w:rPr>
          <w:rStyle w:val="Caracteresdenotaderodap"/>
        </w:rPr>
        <w:footnoteRef/>
      </w:r>
      <w:r>
        <w:rPr/>
        <w:tab/>
        <w:t xml:space="preserve">Para uma ampla revisão bibliográficas referentes aos modelos e exportação, ver Carneiro (2014).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tru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hyperlink" Target="https://artsandculture.google.com/entity/m06gmr" TargetMode="External"/><Relationship Id="rId27" Type="http://schemas.openxmlformats.org/officeDocument/2006/relationships/hyperlink" Target="https://artsandculture.google.com/entity/m0dg3n1" TargetMode="External"/><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hyperlink" Target="https://goo.gl/M2YGtV" TargetMode="External"/><Relationship Id="rId33" Type="http://schemas.openxmlformats.org/officeDocument/2006/relationships/hyperlink" Target="https://repositorio.ufjf.br/jspui/handle/ufjf/3276" TargetMode="External"/><Relationship Id="rId34" Type="http://schemas.openxmlformats.org/officeDocument/2006/relationships/header" Target="header3.xml"/><Relationship Id="rId35" Type="http://schemas.openxmlformats.org/officeDocument/2006/relationships/footnotes" Target="footnotes.xml"/><Relationship Id="rId36" Type="http://schemas.openxmlformats.org/officeDocument/2006/relationships/fontTable" Target="fontTable.xml"/><Relationship Id="rId37"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4688</TotalTime>
  <Application>LibreOffice/7.3.7.2$Linux_X86_64 LibreOffice_project/30$Build-2</Application>
  <AppVersion>15.0000</AppVersion>
  <Pages>44</Pages>
  <Words>7371</Words>
  <Characters>40053</Characters>
  <CharactersWithSpaces>47778</CharactersWithSpaces>
  <Paragraphs>219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2023-03-25T02:38:19Z</dcterms:modified>
  <cp:revision>162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